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30" w:lineRule="exact"/>
        <w:rPr>
          <w:rFonts w:ascii="黑体" w:hAnsi="黑体" w:eastAsia="黑体"/>
          <w:szCs w:val="32"/>
        </w:rPr>
      </w:pPr>
    </w:p>
    <w:p>
      <w:pPr>
        <w:keepNext w:val="0"/>
        <w:keepLines w:val="0"/>
        <w:pageBreakBefore w:val="0"/>
        <w:kinsoku/>
        <w:overflowPunct/>
        <w:topLinePunct w:val="0"/>
        <w:autoSpaceDE/>
        <w:bidi w:val="0"/>
        <w:adjustRightInd/>
        <w:spacing w:line="560" w:lineRule="exact"/>
        <w:ind w:firstLine="220" w:firstLineChars="50"/>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lang w:eastAsia="zh-CN"/>
        </w:rPr>
        <w:t>参政议政</w:t>
      </w:r>
      <w:r>
        <w:rPr>
          <w:rFonts w:hint="eastAsia" w:ascii="方正小标宋_GBK" w:hAnsi="方正小标宋_GBK" w:eastAsia="方正小标宋_GBK" w:cs="方正小标宋_GBK"/>
          <w:b w:val="0"/>
          <w:bCs/>
          <w:sz w:val="44"/>
          <w:szCs w:val="44"/>
        </w:rPr>
        <w:t>项目绩效自评报告</w:t>
      </w:r>
    </w:p>
    <w:p>
      <w:pPr>
        <w:keepNext w:val="0"/>
        <w:keepLines w:val="0"/>
        <w:pageBreakBefore w:val="0"/>
        <w:kinsoku/>
        <w:overflowPunct/>
        <w:topLinePunct w:val="0"/>
        <w:autoSpaceDE/>
        <w:bidi w:val="0"/>
        <w:adjustRightInd/>
        <w:spacing w:line="560" w:lineRule="exact"/>
        <w:ind w:firstLine="560"/>
        <w:textAlignment w:val="auto"/>
        <w:rPr>
          <w:szCs w:val="32"/>
        </w:rPr>
      </w:pPr>
    </w:p>
    <w:p>
      <w:pPr>
        <w:keepNext w:val="0"/>
        <w:keepLines w:val="0"/>
        <w:pageBreakBefore w:val="0"/>
        <w:kinsoku/>
        <w:overflowPunct/>
        <w:topLinePunct w:val="0"/>
        <w:autoSpaceDE/>
        <w:bidi w:val="0"/>
        <w:adjustRightInd/>
        <w:spacing w:line="560" w:lineRule="exact"/>
        <w:ind w:firstLine="640" w:firstLineChars="200"/>
        <w:textAlignment w:val="auto"/>
        <w:rPr>
          <w:rFonts w:hint="eastAsia" w:ascii="黑体" w:hAnsi="仿宋" w:eastAsia="黑体"/>
          <w:szCs w:val="32"/>
        </w:rPr>
      </w:pPr>
      <w:r>
        <w:rPr>
          <w:rFonts w:hint="eastAsia" w:ascii="黑体" w:hAnsi="仿宋" w:eastAsia="黑体"/>
          <w:szCs w:val="32"/>
        </w:rPr>
        <w:t>一、项目概况</w:t>
      </w:r>
    </w:p>
    <w:p>
      <w:pPr>
        <w:keepNext w:val="0"/>
        <w:keepLines w:val="0"/>
        <w:pageBreakBefore w:val="0"/>
        <w:kinsoku/>
        <w:overflowPunct/>
        <w:topLinePunct w:val="0"/>
        <w:autoSpaceDE/>
        <w:bidi w:val="0"/>
        <w:adjustRightInd/>
        <w:spacing w:line="560" w:lineRule="exact"/>
        <w:ind w:firstLine="320" w:firstLineChars="100"/>
        <w:textAlignment w:val="auto"/>
        <w:outlineLvl w:val="0"/>
        <w:rPr>
          <w:rFonts w:hint="eastAsia" w:ascii="楷体" w:hAnsi="楷体" w:eastAsia="楷体" w:cs="楷体"/>
          <w:b w:val="0"/>
          <w:bCs/>
          <w:color w:val="000000"/>
          <w:szCs w:val="32"/>
        </w:rPr>
      </w:pPr>
      <w:r>
        <w:rPr>
          <w:rFonts w:hint="eastAsia" w:ascii="楷体" w:hAnsi="楷体" w:eastAsia="楷体" w:cs="楷体"/>
          <w:b w:val="0"/>
          <w:bCs/>
          <w:color w:val="000000"/>
          <w:szCs w:val="32"/>
        </w:rPr>
        <w:t>（一）项目单位基本情况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uppressAutoHyphens/>
        <w:bidi w:val="0"/>
        <w:spacing w:before="0" w:beforeAutospacing="0" w:after="0" w:afterAutospacing="0"/>
        <w:ind w:right="0" w:firstLine="640" w:firstLineChars="200"/>
        <w:jc w:val="both"/>
        <w:rPr>
          <w:rFonts w:hint="eastAsia" w:hAnsi="仿宋"/>
          <w:sz w:val="32"/>
          <w:szCs w:val="32"/>
        </w:rPr>
      </w:pPr>
      <w:r>
        <w:rPr>
          <w:rFonts w:hint="eastAsia"/>
          <w:sz w:val="32"/>
          <w:szCs w:val="32"/>
        </w:rPr>
        <w:t>项目单位为</w:t>
      </w:r>
      <w:r>
        <w:rPr>
          <w:rFonts w:hint="eastAsia" w:hAnsi="Calibri"/>
          <w:sz w:val="32"/>
          <w:szCs w:val="32"/>
        </w:rPr>
        <w:t>中国民主同盟海南省委员会，</w:t>
      </w:r>
      <w:r>
        <w:rPr>
          <w:rFonts w:hint="eastAsia" w:hAnsi="Calibri"/>
          <w:sz w:val="32"/>
          <w:szCs w:val="32"/>
          <w:lang w:eastAsia="zh-CN"/>
        </w:rPr>
        <w:t>是中国民主同盟</w:t>
      </w:r>
      <w:r>
        <w:rPr>
          <w:rFonts w:hint="eastAsia" w:hAnsi="Calibri"/>
          <w:sz w:val="32"/>
          <w:szCs w:val="32"/>
          <w:lang w:val="en-US" w:eastAsia="zh-CN"/>
        </w:rPr>
        <w:t>在海南的省级地方组织</w:t>
      </w:r>
      <w:r>
        <w:rPr>
          <w:rFonts w:hint="eastAsia" w:hAnsi="Calibri"/>
          <w:sz w:val="32"/>
          <w:szCs w:val="32"/>
        </w:rPr>
        <w:t>。民盟海南省委</w:t>
      </w:r>
      <w:r>
        <w:rPr>
          <w:rFonts w:hint="eastAsia" w:hAnsi="Calibri"/>
          <w:sz w:val="32"/>
          <w:szCs w:val="32"/>
          <w:lang w:eastAsia="zh-CN"/>
        </w:rPr>
        <w:t>会</w:t>
      </w:r>
      <w:r>
        <w:rPr>
          <w:rFonts w:hint="eastAsia" w:hAnsi="Calibri"/>
          <w:sz w:val="32"/>
          <w:szCs w:val="32"/>
        </w:rPr>
        <w:t>长期以来坚持中国共产党领导的多党合作和政治协商制度，</w:t>
      </w:r>
      <w:r>
        <w:rPr>
          <w:rFonts w:hint="eastAsia" w:hAnsi="Calibri"/>
          <w:sz w:val="32"/>
          <w:szCs w:val="32"/>
          <w:lang w:val="en-US" w:eastAsia="zh-CN"/>
        </w:rPr>
        <w:t>坚持以习近平新时代中国特色社会主义思想为指导，不断加强自身建设，努力提高整体素质，积极参与党和政府有关政治协商、政策研讨及决策咨询；持续开展理论学习，切实强化理论武装, 继承和发扬民盟优良传统，不断夯实多党合作的共同思想政治基础；不断提高议政建言能力和水平，努力提升民主监督实效，组织开展多种形式的社会服务活动；充分发挥民盟自身优势，为加快建设具有世界影响力的中国特色自由贸易港贡献力量。</w:t>
      </w:r>
    </w:p>
    <w:p>
      <w:pPr>
        <w:keepNext w:val="0"/>
        <w:keepLines w:val="0"/>
        <w:pageBreakBefore w:val="0"/>
        <w:kinsoku/>
        <w:overflowPunct/>
        <w:topLinePunct w:val="0"/>
        <w:autoSpaceDE/>
        <w:bidi w:val="0"/>
        <w:adjustRightInd/>
        <w:spacing w:line="560" w:lineRule="exact"/>
        <w:textAlignment w:val="auto"/>
        <w:rPr>
          <w:rFonts w:hint="eastAsia" w:ascii="楷体" w:hAnsi="楷体" w:eastAsia="楷体" w:cs="楷体"/>
          <w:b w:val="0"/>
          <w:bCs/>
          <w:color w:val="000000"/>
          <w:szCs w:val="32"/>
        </w:rPr>
      </w:pPr>
      <w:r>
        <w:rPr>
          <w:rFonts w:hint="eastAsia"/>
          <w:b/>
          <w:color w:val="000000"/>
          <w:szCs w:val="32"/>
        </w:rPr>
        <w:t xml:space="preserve">   </w:t>
      </w:r>
      <w:r>
        <w:rPr>
          <w:rFonts w:hint="eastAsia" w:ascii="楷体" w:hAnsi="楷体" w:eastAsia="楷体" w:cs="楷体"/>
          <w:b w:val="0"/>
          <w:bCs/>
          <w:color w:val="000000"/>
          <w:szCs w:val="32"/>
        </w:rPr>
        <w:t>（二）项目基本性质、用途和主要内容、涉及范围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hAnsi="仿宋_GB2312" w:cs="仿宋_GB2312"/>
          <w:color w:val="000000"/>
          <w:szCs w:val="32"/>
        </w:rPr>
      </w:pPr>
      <w:r>
        <w:rPr>
          <w:rFonts w:hint="eastAsia"/>
          <w:color w:val="000000"/>
          <w:szCs w:val="32"/>
        </w:rPr>
        <w:t>该项目为年初下达，项目支出按民盟海南省委</w:t>
      </w:r>
      <w:r>
        <w:rPr>
          <w:rFonts w:hint="eastAsia"/>
          <w:color w:val="000000"/>
          <w:szCs w:val="32"/>
          <w:lang w:eastAsia="zh-CN"/>
        </w:rPr>
        <w:t>会</w:t>
      </w:r>
      <w:r>
        <w:rPr>
          <w:rFonts w:hint="eastAsia"/>
          <w:color w:val="000000"/>
          <w:szCs w:val="32"/>
        </w:rPr>
        <w:t>年初计划执行，主要用于</w:t>
      </w:r>
      <w:r>
        <w:rPr>
          <w:rFonts w:hint="eastAsia"/>
          <w:color w:val="000000"/>
          <w:szCs w:val="32"/>
          <w:lang w:eastAsia="zh-CN"/>
        </w:rPr>
        <w:t>民盟海南省委会</w:t>
      </w:r>
      <w:r>
        <w:rPr>
          <w:rFonts w:hint="eastAsia"/>
          <w:color w:val="000000"/>
          <w:szCs w:val="32"/>
        </w:rPr>
        <w:t>重点课题、民盟8个专委会及部分基层组织进行参政议政课题</w:t>
      </w:r>
      <w:r>
        <w:rPr>
          <w:rFonts w:hint="eastAsia"/>
          <w:color w:val="000000"/>
          <w:szCs w:val="32"/>
          <w:lang w:eastAsia="zh-CN"/>
        </w:rPr>
        <w:t>调研</w:t>
      </w:r>
      <w:r>
        <w:rPr>
          <w:rFonts w:hint="eastAsia"/>
          <w:color w:val="000000"/>
          <w:szCs w:val="32"/>
        </w:rPr>
        <w:t>过程中产生的费用，以及撰写调研课题的劳务费。</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年省财政年初预算资金4.2万元，</w:t>
      </w:r>
      <w:r>
        <w:rPr>
          <w:rFonts w:hint="eastAsia" w:ascii="仿宋_GB2312" w:hAnsi="仿宋_GB2312" w:eastAsia="仿宋_GB2312" w:cs="仿宋_GB2312"/>
          <w:color w:val="000000" w:themeColor="text1"/>
          <w:sz w:val="32"/>
          <w:szCs w:val="32"/>
          <w:lang w:eastAsia="zh-CN"/>
        </w:rPr>
        <w:t>全年预算数</w:t>
      </w:r>
      <w:r>
        <w:rPr>
          <w:rFonts w:hint="eastAsia" w:ascii="仿宋_GB2312" w:hAnsi="仿宋_GB2312" w:eastAsia="仿宋_GB2312" w:cs="仿宋_GB2312"/>
          <w:color w:val="000000" w:themeColor="text1"/>
          <w:sz w:val="32"/>
          <w:szCs w:val="32"/>
          <w:lang w:val="en-US" w:eastAsia="zh-CN"/>
        </w:rPr>
        <w:t>3.99万元，</w:t>
      </w:r>
      <w:r>
        <w:rPr>
          <w:rFonts w:hint="eastAsia" w:ascii="仿宋_GB2312" w:hAnsi="仿宋_GB2312" w:eastAsia="仿宋_GB2312" w:cs="仿宋_GB2312"/>
          <w:color w:val="000000" w:themeColor="text1"/>
          <w:sz w:val="32"/>
          <w:szCs w:val="32"/>
        </w:rPr>
        <w:t>实际到位资金</w:t>
      </w:r>
      <w:r>
        <w:rPr>
          <w:rFonts w:hint="eastAsia" w:ascii="仿宋_GB2312" w:hAnsi="仿宋_GB2312" w:eastAsia="仿宋_GB2312" w:cs="仿宋_GB2312"/>
          <w:color w:val="000000" w:themeColor="text1"/>
          <w:sz w:val="32"/>
          <w:szCs w:val="32"/>
          <w:lang w:val="en-US" w:eastAsia="zh-CN"/>
        </w:rPr>
        <w:t>3.99</w:t>
      </w:r>
      <w:r>
        <w:rPr>
          <w:rFonts w:hint="eastAsia" w:ascii="仿宋_GB2312" w:hAnsi="仿宋_GB2312" w:eastAsia="仿宋_GB2312" w:cs="仿宋_GB2312"/>
          <w:color w:val="000000" w:themeColor="text1"/>
          <w:sz w:val="32"/>
          <w:szCs w:val="32"/>
        </w:rPr>
        <w:t>万元。</w:t>
      </w:r>
    </w:p>
    <w:p>
      <w:pPr>
        <w:keepNext w:val="0"/>
        <w:keepLines w:val="0"/>
        <w:pageBreakBefore w:val="0"/>
        <w:tabs>
          <w:tab w:val="right" w:pos="8204"/>
        </w:tabs>
        <w:kinsoku/>
        <w:overflowPunct/>
        <w:topLinePunct w:val="0"/>
        <w:autoSpaceDE/>
        <w:bidi w:val="0"/>
        <w:adjustRightInd/>
        <w:spacing w:line="560" w:lineRule="exact"/>
        <w:ind w:firstLine="470" w:firstLineChars="147"/>
        <w:textAlignment w:val="auto"/>
        <w:outlineLvl w:val="0"/>
        <w:rPr>
          <w:rFonts w:hint="eastAsia" w:ascii="楷体" w:hAnsi="楷体" w:eastAsia="楷体" w:cs="楷体"/>
          <w:b w:val="0"/>
          <w:bCs/>
          <w:color w:val="000000"/>
          <w:szCs w:val="32"/>
        </w:rPr>
      </w:pPr>
      <w:r>
        <w:rPr>
          <w:rFonts w:hint="eastAsia" w:ascii="楷体" w:hAnsi="楷体" w:eastAsia="楷体" w:cs="楷体"/>
          <w:b w:val="0"/>
          <w:bCs/>
          <w:color w:val="000000"/>
          <w:szCs w:val="32"/>
        </w:rPr>
        <w:t>（三）项目绩效目标</w:t>
      </w:r>
    </w:p>
    <w:p>
      <w:pPr>
        <w:keepNext w:val="0"/>
        <w:keepLines w:val="0"/>
        <w:pageBreakBefore w:val="0"/>
        <w:tabs>
          <w:tab w:val="right" w:pos="8204"/>
        </w:tabs>
        <w:kinsoku/>
        <w:overflowPunct/>
        <w:topLinePunct w:val="0"/>
        <w:autoSpaceDE/>
        <w:bidi w:val="0"/>
        <w:adjustRightInd/>
        <w:spacing w:line="560" w:lineRule="exact"/>
        <w:ind w:firstLine="640" w:firstLineChars="200"/>
        <w:textAlignment w:val="auto"/>
        <w:outlineLvl w:val="0"/>
        <w:rPr>
          <w:rFonts w:hint="eastAsia"/>
          <w:b w:val="0"/>
          <w:bCs/>
          <w:color w:val="000000"/>
          <w:szCs w:val="32"/>
        </w:rPr>
      </w:pPr>
      <w:r>
        <w:rPr>
          <w:rFonts w:hint="eastAsia"/>
          <w:b w:val="0"/>
          <w:bCs/>
          <w:color w:val="000000"/>
          <w:szCs w:val="32"/>
        </w:rPr>
        <w:t>1.项目绩效总目标</w:t>
      </w:r>
    </w:p>
    <w:p>
      <w:pPr>
        <w:keepNext w:val="0"/>
        <w:keepLines w:val="0"/>
        <w:pageBreakBefore w:val="0"/>
        <w:tabs>
          <w:tab w:val="right" w:pos="8204"/>
        </w:tabs>
        <w:kinsoku/>
        <w:overflowPunct/>
        <w:topLinePunct w:val="0"/>
        <w:autoSpaceDE/>
        <w:bidi w:val="0"/>
        <w:adjustRightInd/>
        <w:spacing w:line="560" w:lineRule="exact"/>
        <w:ind w:firstLine="640" w:firstLineChars="200"/>
        <w:textAlignment w:val="auto"/>
        <w:outlineLvl w:val="0"/>
        <w:rPr>
          <w:rFonts w:hint="eastAsia" w:eastAsia="仿宋_GB2312"/>
          <w:color w:val="000000"/>
          <w:szCs w:val="32"/>
          <w:lang w:eastAsia="zh-CN"/>
        </w:rPr>
      </w:pPr>
      <w:r>
        <w:rPr>
          <w:rFonts w:hint="eastAsia"/>
          <w:color w:val="000000"/>
          <w:szCs w:val="32"/>
          <w:lang w:eastAsia="zh-CN"/>
        </w:rPr>
        <w:t>全年参政议政的次数。</w:t>
      </w:r>
    </w:p>
    <w:p>
      <w:pPr>
        <w:keepNext w:val="0"/>
        <w:keepLines w:val="0"/>
        <w:pageBreakBefore w:val="0"/>
        <w:tabs>
          <w:tab w:val="right" w:pos="8204"/>
        </w:tabs>
        <w:kinsoku/>
        <w:overflowPunct/>
        <w:topLinePunct w:val="0"/>
        <w:autoSpaceDE/>
        <w:bidi w:val="0"/>
        <w:adjustRightInd/>
        <w:spacing w:line="560" w:lineRule="exact"/>
        <w:ind w:firstLine="640" w:firstLineChars="200"/>
        <w:textAlignment w:val="auto"/>
        <w:outlineLvl w:val="0"/>
        <w:rPr>
          <w:rFonts w:hint="eastAsia" w:eastAsia="仿宋_GB2312"/>
          <w:b w:val="0"/>
          <w:bCs/>
          <w:color w:val="000000"/>
          <w:szCs w:val="32"/>
          <w:lang w:eastAsia="zh-CN"/>
        </w:rPr>
      </w:pPr>
      <w:r>
        <w:rPr>
          <w:rFonts w:hint="eastAsia"/>
          <w:b w:val="0"/>
          <w:bCs/>
          <w:color w:val="000000"/>
          <w:szCs w:val="32"/>
        </w:rPr>
        <w:t>2.</w:t>
      </w:r>
      <w:r>
        <w:rPr>
          <w:rFonts w:hint="eastAsia"/>
          <w:b w:val="0"/>
          <w:bCs/>
          <w:color w:val="000000"/>
          <w:szCs w:val="32"/>
          <w:lang w:eastAsia="zh-CN"/>
        </w:rPr>
        <w:t>当年年度目标完成情况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val="0"/>
          <w:bCs w:val="0"/>
          <w:sz w:val="32"/>
          <w:szCs w:val="32"/>
          <w:lang w:eastAsia="zh-CN"/>
        </w:rPr>
        <w:t>民盟</w:t>
      </w:r>
      <w:r>
        <w:rPr>
          <w:rFonts w:hint="eastAsia" w:hAnsi="仿宋_GB2312" w:cs="仿宋_GB2312"/>
          <w:b w:val="0"/>
          <w:bCs w:val="0"/>
          <w:sz w:val="32"/>
          <w:szCs w:val="32"/>
          <w:lang w:eastAsia="zh-CN"/>
        </w:rPr>
        <w:t>海南省委会全年共完成</w:t>
      </w:r>
      <w:r>
        <w:rPr>
          <w:rFonts w:hint="eastAsia" w:hAnsi="仿宋_GB2312" w:cs="仿宋_GB2312"/>
          <w:b w:val="0"/>
          <w:bCs w:val="0"/>
          <w:sz w:val="32"/>
          <w:szCs w:val="32"/>
          <w:lang w:val="en-US" w:eastAsia="zh-CN"/>
        </w:rPr>
        <w:t>20项调研课题，向</w:t>
      </w:r>
      <w:r>
        <w:rPr>
          <w:rFonts w:hint="eastAsia" w:ascii="仿宋_GB2312" w:hAnsi="仿宋_GB2312" w:eastAsia="仿宋_GB2312" w:cs="仿宋_GB2312"/>
          <w:sz w:val="32"/>
          <w:szCs w:val="32"/>
          <w:lang w:val="en-US" w:eastAsia="zh-CN"/>
        </w:rPr>
        <w:t>海南省政协八届二次会议上提交10件大会发言和12件集体提案</w:t>
      </w:r>
      <w:r>
        <w:rPr>
          <w:rFonts w:hint="eastAsia" w:hAnsi="仿宋_GB2312" w:cs="仿宋_GB2312"/>
          <w:sz w:val="32"/>
          <w:szCs w:val="32"/>
          <w:lang w:val="en-US" w:eastAsia="zh-CN"/>
        </w:rPr>
        <w:t>，答复率100%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中，大会口头发言《关于全面推进美丽海南建设的建议》得到省长的批示，《关于推进海南自贸港旅游休闲街区高质量发展的建议》《关于加强海南省城市燃气系统安全性能和信息化工作的建议》等2件提案被列为省政协重点提案和主席会议成员重点督办案，被评为海南省政协2024年度好提案。应省政协邀请参加重点提案督办活动，与提案办理单位进行充分沟通，进一步提高了提案办理的质量，提案督办达到预期效果。</w:t>
      </w:r>
    </w:p>
    <w:p>
      <w:pPr>
        <w:keepNext w:val="0"/>
        <w:keepLines w:val="0"/>
        <w:pageBreakBefore w:val="0"/>
        <w:widowControl/>
        <w:kinsoku/>
        <w:wordWrap w:val="0"/>
        <w:overflowPunct/>
        <w:topLinePunct w:val="0"/>
        <w:autoSpaceDE/>
        <w:bidi w:val="0"/>
        <w:adjustRightInd/>
        <w:spacing w:line="560" w:lineRule="exact"/>
        <w:ind w:firstLine="579" w:firstLineChars="181"/>
        <w:jc w:val="left"/>
        <w:textAlignment w:val="auto"/>
        <w:rPr>
          <w:rFonts w:hint="eastAsia" w:ascii="黑体" w:hAnsi="仿宋" w:eastAsia="黑体"/>
          <w:b w:val="0"/>
          <w:bCs w:val="0"/>
          <w:szCs w:val="32"/>
        </w:rPr>
      </w:pPr>
      <w:r>
        <w:rPr>
          <w:rFonts w:hint="eastAsia"/>
          <w:b w:val="0"/>
          <w:bCs w:val="0"/>
          <w:color w:val="000000"/>
          <w:szCs w:val="32"/>
          <w:lang w:val="en-US" w:eastAsia="zh-CN"/>
        </w:rPr>
        <w:t xml:space="preserve"> </w:t>
      </w:r>
      <w:r>
        <w:rPr>
          <w:rFonts w:hint="eastAsia" w:ascii="黑体" w:hAnsi="仿宋" w:eastAsia="黑体"/>
          <w:b w:val="0"/>
          <w:bCs w:val="0"/>
          <w:szCs w:val="32"/>
        </w:rPr>
        <w:t>二、项目资金使用管理情况</w:t>
      </w:r>
    </w:p>
    <w:p>
      <w:pPr>
        <w:keepNext w:val="0"/>
        <w:keepLines w:val="0"/>
        <w:pageBreakBefore w:val="0"/>
        <w:kinsoku/>
        <w:overflowPunct/>
        <w:topLinePunct w:val="0"/>
        <w:autoSpaceDE/>
        <w:bidi w:val="0"/>
        <w:adjustRightInd/>
        <w:spacing w:line="560" w:lineRule="exact"/>
        <w:ind w:firstLine="640" w:firstLineChars="200"/>
        <w:textAlignment w:val="auto"/>
        <w:rPr>
          <w:rFonts w:hint="eastAsia" w:ascii="楷体" w:hAnsi="楷体" w:eastAsia="楷体" w:cs="楷体"/>
          <w:b w:val="0"/>
          <w:bCs/>
          <w:szCs w:val="32"/>
        </w:rPr>
      </w:pPr>
      <w:r>
        <w:rPr>
          <w:rFonts w:hint="eastAsia" w:ascii="楷体" w:hAnsi="楷体" w:eastAsia="楷体" w:cs="楷体"/>
          <w:b w:val="0"/>
          <w:bCs/>
          <w:szCs w:val="32"/>
        </w:rPr>
        <w:t>（一）项目资金到位情况分析</w:t>
      </w:r>
    </w:p>
    <w:p>
      <w:pPr>
        <w:keepNext w:val="0"/>
        <w:keepLines w:val="0"/>
        <w:pageBreakBefore w:val="0"/>
        <w:widowControl/>
        <w:kinsoku/>
        <w:wordWrap w:val="0"/>
        <w:overflowPunct/>
        <w:topLinePunct w:val="0"/>
        <w:autoSpaceDE/>
        <w:bidi w:val="0"/>
        <w:adjustRightInd/>
        <w:spacing w:line="560" w:lineRule="exact"/>
        <w:ind w:firstLine="525"/>
        <w:jc w:val="left"/>
        <w:textAlignment w:val="auto"/>
        <w:rPr>
          <w:rFonts w:ascii="Geneva" w:hAnsi="Geneva" w:cs="宋体"/>
          <w:kern w:val="0"/>
          <w:szCs w:val="21"/>
        </w:rPr>
      </w:pPr>
      <w:r>
        <w:rPr>
          <w:rFonts w:hint="eastAsia"/>
          <w:szCs w:val="32"/>
        </w:rPr>
        <w:t xml:space="preserve"> </w:t>
      </w:r>
      <w:r>
        <w:rPr>
          <w:rFonts w:hint="eastAsia" w:ascii="仿宋_GB2312" w:hAnsi="仿宋_GB2312" w:eastAsia="仿宋_GB2312" w:cs="仿宋_GB2312"/>
          <w:color w:val="000000" w:themeColor="text1"/>
          <w:sz w:val="32"/>
          <w:szCs w:val="32"/>
        </w:rPr>
        <w:t>该项目年初预算为4.2万元，</w:t>
      </w:r>
      <w:r>
        <w:rPr>
          <w:rFonts w:hint="eastAsia" w:ascii="仿宋_GB2312" w:hAnsi="仿宋_GB2312" w:eastAsia="仿宋_GB2312" w:cs="仿宋_GB2312"/>
          <w:color w:val="000000" w:themeColor="text1"/>
          <w:sz w:val="32"/>
          <w:szCs w:val="32"/>
          <w:lang w:eastAsia="zh-CN"/>
        </w:rPr>
        <w:t>全年预算数</w:t>
      </w:r>
      <w:r>
        <w:rPr>
          <w:rFonts w:hint="eastAsia" w:ascii="仿宋_GB2312" w:hAnsi="仿宋_GB2312" w:eastAsia="仿宋_GB2312" w:cs="仿宋_GB2312"/>
          <w:color w:val="000000" w:themeColor="text1"/>
          <w:sz w:val="32"/>
          <w:szCs w:val="32"/>
          <w:lang w:val="en-US" w:eastAsia="zh-CN"/>
        </w:rPr>
        <w:t>3.99万元，</w:t>
      </w:r>
      <w:r>
        <w:rPr>
          <w:rFonts w:hint="eastAsia" w:ascii="仿宋_GB2312" w:hAnsi="仿宋_GB2312" w:eastAsia="仿宋_GB2312" w:cs="仿宋_GB2312"/>
          <w:color w:val="000000" w:themeColor="text1"/>
          <w:sz w:val="32"/>
          <w:szCs w:val="32"/>
        </w:rPr>
        <w:t>实际到位资金</w:t>
      </w:r>
      <w:r>
        <w:rPr>
          <w:rFonts w:hint="eastAsia" w:ascii="仿宋_GB2312" w:hAnsi="仿宋_GB2312" w:eastAsia="仿宋_GB2312" w:cs="仿宋_GB2312"/>
          <w:color w:val="000000" w:themeColor="text1"/>
          <w:sz w:val="32"/>
          <w:szCs w:val="32"/>
          <w:lang w:val="en-US" w:eastAsia="zh-CN"/>
        </w:rPr>
        <w:t>3.99</w:t>
      </w:r>
      <w:r>
        <w:rPr>
          <w:rFonts w:hint="eastAsia" w:ascii="仿宋_GB2312" w:hAnsi="仿宋_GB2312" w:eastAsia="仿宋_GB2312" w:cs="仿宋_GB2312"/>
          <w:color w:val="000000" w:themeColor="text1"/>
          <w:sz w:val="32"/>
          <w:szCs w:val="32"/>
        </w:rPr>
        <w:t>万元，</w:t>
      </w:r>
      <w:r>
        <w:rPr>
          <w:rFonts w:hint="eastAsia" w:ascii="仿宋_GB2312" w:hAnsi="仿宋_GB2312" w:eastAsia="仿宋_GB2312" w:cs="仿宋_GB2312"/>
          <w:color w:val="000000" w:themeColor="text1"/>
          <w:kern w:val="0"/>
          <w:sz w:val="32"/>
          <w:szCs w:val="32"/>
        </w:rPr>
        <w:t>资金全部到位。</w:t>
      </w:r>
    </w:p>
    <w:p>
      <w:pPr>
        <w:keepNext w:val="0"/>
        <w:keepLines w:val="0"/>
        <w:pageBreakBefore w:val="0"/>
        <w:kinsoku/>
        <w:overflowPunct/>
        <w:topLinePunct w:val="0"/>
        <w:autoSpaceDE/>
        <w:autoSpaceDN w:val="0"/>
        <w:bidi w:val="0"/>
        <w:adjustRightInd/>
        <w:spacing w:line="560" w:lineRule="exact"/>
        <w:ind w:firstLine="420"/>
        <w:textAlignment w:val="auto"/>
        <w:rPr>
          <w:rFonts w:hint="eastAsia" w:ascii="楷体" w:hAnsi="楷体" w:eastAsia="楷体" w:cs="楷体"/>
          <w:b w:val="0"/>
          <w:bCs/>
          <w:szCs w:val="32"/>
        </w:rPr>
      </w:pPr>
      <w:r>
        <w:rPr>
          <w:rFonts w:hint="eastAsia" w:ascii="楷体" w:hAnsi="楷体" w:eastAsia="楷体" w:cs="楷体"/>
          <w:b w:val="0"/>
          <w:bCs/>
          <w:szCs w:val="32"/>
        </w:rPr>
        <w:t>（二）项目资金使用情况分析</w:t>
      </w:r>
    </w:p>
    <w:p>
      <w:pPr>
        <w:keepNext w:val="0"/>
        <w:keepLines w:val="0"/>
        <w:pageBreakBefore w:val="0"/>
        <w:kinsoku/>
        <w:overflowPunct/>
        <w:topLinePunct w:val="0"/>
        <w:autoSpaceDE/>
        <w:autoSpaceDN w:val="0"/>
        <w:bidi w:val="0"/>
        <w:adjustRightInd/>
        <w:spacing w:line="560" w:lineRule="exact"/>
        <w:ind w:firstLine="416" w:firstLineChars="130"/>
        <w:textAlignment w:val="auto"/>
        <w:rPr>
          <w:rFonts w:hint="eastAsia" w:hAnsi="Geneva" w:cs="宋体"/>
          <w:kern w:val="0"/>
          <w:szCs w:val="32"/>
        </w:rPr>
      </w:pPr>
      <w:r>
        <w:rPr>
          <w:rFonts w:hint="eastAsia" w:hAnsi="Geneva" w:cs="宋体"/>
          <w:kern w:val="0"/>
          <w:szCs w:val="32"/>
        </w:rPr>
        <w:t xml:space="preserve"> 截</w:t>
      </w:r>
      <w:r>
        <w:rPr>
          <w:rFonts w:hint="eastAsia" w:hAnsi="Geneva" w:cs="宋体"/>
          <w:kern w:val="0"/>
          <w:szCs w:val="32"/>
          <w:lang w:eastAsia="zh-CN"/>
        </w:rPr>
        <w:t>止</w:t>
      </w:r>
      <w:r>
        <w:rPr>
          <w:rFonts w:hint="eastAsia" w:hAnsi="Geneva" w:cs="宋体"/>
          <w:kern w:val="0"/>
          <w:szCs w:val="32"/>
        </w:rPr>
        <w:t>到20</w:t>
      </w:r>
      <w:r>
        <w:rPr>
          <w:rFonts w:hAnsi="Geneva" w:cs="宋体"/>
          <w:kern w:val="0"/>
          <w:szCs w:val="32"/>
        </w:rPr>
        <w:t>2</w:t>
      </w:r>
      <w:r>
        <w:rPr>
          <w:rFonts w:hint="eastAsia" w:hAnsi="Geneva" w:cs="宋体"/>
          <w:kern w:val="0"/>
          <w:szCs w:val="32"/>
          <w:lang w:val="en-US" w:eastAsia="zh-CN"/>
        </w:rPr>
        <w:t>4</w:t>
      </w:r>
      <w:r>
        <w:rPr>
          <w:rFonts w:hint="eastAsia" w:hAnsi="Geneva" w:cs="宋体"/>
          <w:kern w:val="0"/>
          <w:szCs w:val="32"/>
        </w:rPr>
        <w:t>年12月31日，项目支出</w:t>
      </w:r>
      <w:r>
        <w:rPr>
          <w:rFonts w:hint="eastAsia" w:hAnsi="Geneva" w:cs="宋体"/>
          <w:kern w:val="0"/>
          <w:szCs w:val="32"/>
          <w:lang w:val="en-US" w:eastAsia="zh-CN"/>
        </w:rPr>
        <w:t>3.98</w:t>
      </w:r>
      <w:r>
        <w:rPr>
          <w:rFonts w:hint="eastAsia" w:hAnsi="Geneva" w:cs="宋体"/>
          <w:kern w:val="0"/>
          <w:szCs w:val="32"/>
        </w:rPr>
        <w:t>万元。主要用于课题调研差旅费和撰写课题劳务费。</w:t>
      </w:r>
      <w:bookmarkStart w:id="0" w:name="_GoBack"/>
      <w:bookmarkEnd w:id="0"/>
    </w:p>
    <w:p>
      <w:pPr>
        <w:keepNext w:val="0"/>
        <w:keepLines w:val="0"/>
        <w:pageBreakBefore w:val="0"/>
        <w:kinsoku/>
        <w:overflowPunct/>
        <w:topLinePunct w:val="0"/>
        <w:autoSpaceDE/>
        <w:bidi w:val="0"/>
        <w:adjustRightInd/>
        <w:spacing w:line="560" w:lineRule="exact"/>
        <w:textAlignment w:val="auto"/>
        <w:outlineLvl w:val="0"/>
        <w:rPr>
          <w:rFonts w:hint="eastAsia" w:ascii="楷体" w:hAnsi="楷体" w:eastAsia="楷体" w:cs="楷体"/>
          <w:b w:val="0"/>
          <w:bCs/>
          <w:color w:val="000000"/>
          <w:szCs w:val="32"/>
        </w:rPr>
      </w:pPr>
      <w:r>
        <w:rPr>
          <w:rFonts w:hint="eastAsia"/>
          <w:b/>
          <w:szCs w:val="32"/>
        </w:rPr>
        <w:t xml:space="preserve">   </w:t>
      </w:r>
      <w:r>
        <w:rPr>
          <w:rFonts w:hint="eastAsia" w:ascii="楷体" w:hAnsi="楷体" w:eastAsia="楷体" w:cs="楷体"/>
          <w:b w:val="0"/>
          <w:bCs/>
          <w:szCs w:val="32"/>
        </w:rPr>
        <w:t>（三）项目资金管理情况分析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项目资金管理主要依据《海南省省直机关差旅费管理办法》、《民盟海南省委参政议政调研课题经费使用管理办法》、《民盟海南省委财务管理规定》等相关规定执行。按规定统一管理，严格执行项目预算管理制度，确保了各项财务支出的合法、合规。</w:t>
      </w:r>
    </w:p>
    <w:p>
      <w:pPr>
        <w:pStyle w:val="7"/>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560" w:lineRule="exact"/>
        <w:ind w:left="805" w:leftChars="0" w:firstLine="0" w:firstLineChars="0"/>
        <w:textAlignment w:val="auto"/>
        <w:rPr>
          <w:rFonts w:hint="eastAsia" w:ascii="黑体" w:hAnsi="黑体" w:eastAsia="黑体" w:cs="黑体"/>
          <w:sz w:val="32"/>
          <w:szCs w:val="32"/>
        </w:rPr>
      </w:pPr>
      <w:r>
        <w:rPr>
          <w:rFonts w:hint="eastAsia" w:ascii="黑体" w:hAnsi="黑体" w:eastAsia="黑体" w:cs="黑体"/>
          <w:sz w:val="32"/>
          <w:szCs w:val="32"/>
        </w:rPr>
        <w:t>项目组织实施情况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hAnsi="Geneva" w:eastAsia="仿宋_GB2312" w:cs="宋体"/>
          <w:kern w:val="0"/>
          <w:szCs w:val="32"/>
          <w:lang w:eastAsia="zh-CN"/>
        </w:rPr>
      </w:pPr>
      <w:r>
        <w:rPr>
          <w:rFonts w:hint="eastAsia" w:ascii="仿宋_GB2312" w:hAnsi="仿宋_GB2312" w:eastAsia="仿宋_GB2312" w:cs="仿宋_GB2312"/>
          <w:b w:val="0"/>
          <w:bCs w:val="0"/>
          <w:sz w:val="32"/>
          <w:szCs w:val="32"/>
          <w:lang w:eastAsia="zh-CN"/>
        </w:rPr>
        <w:t>根据年初工作安排，各基层组织、专委会申报调研课题，经民盟海南省委常委会研究确定课题后，课题负责人根据课题调研需要制定调研方案及经费预算，报民盟海南省委会机关审批同意后方可开展调研，并严格按照审批的方案及预算使用经费。</w:t>
      </w:r>
      <w:r>
        <w:rPr>
          <w:rFonts w:hint="eastAsia" w:hAnsi="仿宋_GB2312" w:cs="仿宋_GB2312"/>
          <w:b w:val="0"/>
          <w:bCs w:val="0"/>
          <w:sz w:val="32"/>
          <w:szCs w:val="32"/>
          <w:lang w:eastAsia="zh-CN"/>
        </w:rPr>
        <w:t>民盟海南省委会组织相关专家学者组成课题调研组，先后赴三亚、洋浦等地开展课题调研，完成了课题撰写工作</w:t>
      </w:r>
      <w:r>
        <w:rPr>
          <w:rFonts w:hint="eastAsia" w:hAnsi="仿宋_GB2312" w:cs="仿宋_GB2312"/>
          <w:b w:val="0"/>
          <w:bCs w:val="0"/>
          <w:sz w:val="32"/>
          <w:szCs w:val="32"/>
          <w:lang w:val="en-US" w:eastAsia="zh-CN"/>
        </w:rPr>
        <w:t>，我单位严格按照项目资金管理相关规定安排使用资金，</w:t>
      </w:r>
      <w:r>
        <w:rPr>
          <w:rFonts w:hint="eastAsia" w:hAnsi="仿宋_GB2312" w:cs="仿宋_GB2312"/>
          <w:b w:val="0"/>
          <w:bCs w:val="0"/>
          <w:sz w:val="32"/>
          <w:szCs w:val="32"/>
          <w:lang w:eastAsia="zh-CN"/>
        </w:rPr>
        <w:t>实际支出</w:t>
      </w:r>
      <w:r>
        <w:rPr>
          <w:rFonts w:hint="eastAsia" w:hAnsi="仿宋_GB2312" w:cs="仿宋_GB2312"/>
          <w:b w:val="0"/>
          <w:bCs w:val="0"/>
          <w:sz w:val="32"/>
          <w:szCs w:val="32"/>
          <w:lang w:val="en-US" w:eastAsia="zh-CN"/>
        </w:rPr>
        <w:t>3.98万元，主要用于支付</w:t>
      </w:r>
      <w:r>
        <w:rPr>
          <w:rFonts w:hint="eastAsia" w:hAnsi="Geneva" w:cs="宋体"/>
          <w:kern w:val="0"/>
          <w:szCs w:val="32"/>
        </w:rPr>
        <w:t>课题调研</w:t>
      </w:r>
      <w:r>
        <w:rPr>
          <w:rFonts w:hint="eastAsia" w:hAnsi="Geneva" w:cs="宋体"/>
          <w:kern w:val="0"/>
          <w:szCs w:val="32"/>
          <w:lang w:eastAsia="zh-CN"/>
        </w:rPr>
        <w:t>组</w:t>
      </w:r>
      <w:r>
        <w:rPr>
          <w:rFonts w:hint="eastAsia" w:hAnsi="Geneva" w:cs="宋体"/>
          <w:kern w:val="0"/>
          <w:szCs w:val="32"/>
        </w:rPr>
        <w:t>差旅费和撰写课题劳务费</w:t>
      </w:r>
      <w:r>
        <w:rPr>
          <w:rFonts w:hint="eastAsia" w:hAnsi="Geneva" w:cs="宋体"/>
          <w:kern w:val="0"/>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项目绩效情况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该项目的资金为4.2万元，</w:t>
      </w:r>
      <w:r>
        <w:rPr>
          <w:rFonts w:hint="eastAsia" w:hAnsi="仿宋_GB2312" w:cs="仿宋_GB2312"/>
          <w:b w:val="0"/>
          <w:bCs w:val="0"/>
          <w:sz w:val="32"/>
          <w:szCs w:val="32"/>
          <w:lang w:eastAsia="zh-CN"/>
        </w:rPr>
        <w:t>全年预算数为</w:t>
      </w:r>
      <w:r>
        <w:rPr>
          <w:rFonts w:hint="eastAsia" w:hAnsi="仿宋_GB2312" w:cs="仿宋_GB2312"/>
          <w:b w:val="0"/>
          <w:bCs w:val="0"/>
          <w:sz w:val="32"/>
          <w:szCs w:val="32"/>
          <w:lang w:val="en-US" w:eastAsia="zh-CN"/>
        </w:rPr>
        <w:t>3.99万元，</w:t>
      </w:r>
      <w:r>
        <w:rPr>
          <w:rFonts w:hint="eastAsia" w:ascii="仿宋_GB2312" w:hAnsi="仿宋_GB2312" w:eastAsia="仿宋_GB2312" w:cs="仿宋_GB2312"/>
          <w:b w:val="0"/>
          <w:bCs w:val="0"/>
          <w:sz w:val="32"/>
          <w:szCs w:val="32"/>
          <w:lang w:eastAsia="zh-CN"/>
        </w:rPr>
        <w:t>实际支出</w:t>
      </w:r>
      <w:r>
        <w:rPr>
          <w:rFonts w:hint="eastAsia" w:ascii="仿宋_GB2312" w:hAnsi="仿宋_GB2312" w:eastAsia="仿宋_GB2312" w:cs="仿宋_GB2312"/>
          <w:b w:val="0"/>
          <w:bCs w:val="0"/>
          <w:sz w:val="32"/>
          <w:szCs w:val="32"/>
          <w:lang w:val="en-US" w:eastAsia="zh-CN"/>
        </w:rPr>
        <w:t>3.9</w:t>
      </w:r>
      <w:r>
        <w:rPr>
          <w:rFonts w:hint="eastAsia" w:hAnsi="仿宋_GB2312" w:cs="仿宋_GB2312"/>
          <w:b w:val="0"/>
          <w:bCs w:val="0"/>
          <w:sz w:val="32"/>
          <w:szCs w:val="32"/>
          <w:lang w:val="en-US" w:eastAsia="zh-CN"/>
        </w:rPr>
        <w:t>8</w:t>
      </w:r>
      <w:r>
        <w:rPr>
          <w:rFonts w:hint="eastAsia" w:ascii="仿宋_GB2312" w:hAnsi="仿宋_GB2312" w:eastAsia="仿宋_GB2312" w:cs="仿宋_GB2312"/>
          <w:b w:val="0"/>
          <w:bCs w:val="0"/>
          <w:sz w:val="32"/>
          <w:szCs w:val="32"/>
          <w:lang w:eastAsia="zh-CN"/>
        </w:rPr>
        <w:t>万元，项目资金使用完成率</w:t>
      </w:r>
      <w:r>
        <w:rPr>
          <w:rFonts w:hint="eastAsia" w:ascii="仿宋_GB2312" w:hAnsi="仿宋_GB2312" w:eastAsia="仿宋_GB2312" w:cs="仿宋_GB2312"/>
          <w:b w:val="0"/>
          <w:bCs w:val="0"/>
          <w:sz w:val="32"/>
          <w:szCs w:val="32"/>
          <w:lang w:val="en-US" w:eastAsia="zh-CN"/>
        </w:rPr>
        <w:t>99.96</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_GB2312" w:hAnsi="仿宋_GB2312" w:eastAsia="仿宋_GB2312" w:cs="仿宋_GB2312"/>
          <w:b w:val="0"/>
          <w:bCs w:val="0"/>
          <w:sz w:val="32"/>
          <w:szCs w:val="32"/>
          <w:lang w:val="en-US" w:eastAsia="zh-CN"/>
        </w:rPr>
        <w:t>民盟海南省委会</w:t>
      </w:r>
      <w:r>
        <w:rPr>
          <w:rFonts w:hint="eastAsia" w:ascii="仿宋_GB2312" w:hAnsi="仿宋_GB2312" w:eastAsia="仿宋_GB2312" w:cs="仿宋_GB2312"/>
          <w:b w:val="0"/>
          <w:bCs w:val="0"/>
          <w:sz w:val="32"/>
          <w:szCs w:val="32"/>
          <w:lang w:eastAsia="zh-CN"/>
        </w:rPr>
        <w:t>围绕加快培育发展新质生</w:t>
      </w:r>
      <w:r>
        <w:rPr>
          <w:rFonts w:hint="eastAsia" w:ascii="仿宋_GB2312" w:hAnsi="仿宋_GB2312" w:eastAsia="仿宋_GB2312" w:cs="仿宋_GB2312"/>
          <w:b w:val="0"/>
          <w:bCs w:val="0"/>
          <w:sz w:val="32"/>
          <w:szCs w:val="32"/>
          <w:lang w:val="en-US" w:eastAsia="zh-CN"/>
        </w:rPr>
        <w:t>产力，推进中国式现代化，聚焦海南进一步全面深化改革和海南自由贸易港封关建设首要任务开展20项考察调研，完成</w:t>
      </w:r>
      <w:r>
        <w:rPr>
          <w:rFonts w:hint="eastAsia" w:ascii="仿宋_GB2312" w:hAnsi="仿宋_GB2312" w:eastAsia="仿宋_GB2312" w:cs="仿宋_GB2312"/>
          <w:b w:val="0"/>
          <w:bCs w:val="0"/>
          <w:sz w:val="32"/>
          <w:szCs w:val="32"/>
          <w:lang w:eastAsia="zh-CN"/>
        </w:rPr>
        <w:t>《关于县域人口回流的调研》《推动银发经济发展》《“医养康护”一体化社区养老服务体系与路径研究》《</w:t>
      </w:r>
      <w:r>
        <w:rPr>
          <w:rFonts w:hint="eastAsia" w:ascii="仿宋_GB2312" w:hAnsi="仿宋_GB2312" w:eastAsia="仿宋_GB2312" w:cs="仿宋_GB2312"/>
          <w:b w:val="0"/>
          <w:bCs w:val="0"/>
          <w:sz w:val="32"/>
          <w:szCs w:val="32"/>
          <w:lang w:val="en-US" w:eastAsia="zh-CN"/>
        </w:rPr>
        <w:t>乡村振兴背景下盘活农村宅基地存在问题及建议》等4个民盟中央调研课题，为历年来最多；完成《</w:t>
      </w:r>
      <w:r>
        <w:rPr>
          <w:rFonts w:hint="eastAsia" w:ascii="仿宋_GB2312" w:hAnsi="仿宋_GB2312" w:eastAsia="仿宋_GB2312" w:cs="仿宋_GB2312"/>
          <w:b w:val="0"/>
          <w:bCs w:val="0"/>
          <w:sz w:val="32"/>
          <w:szCs w:val="32"/>
          <w:lang w:eastAsia="zh-CN"/>
        </w:rPr>
        <w:t>以绿色高效为引领  助推海南热带水果全产业链高质量发展</w:t>
      </w:r>
      <w:r>
        <w:rPr>
          <w:rFonts w:hint="eastAsia" w:ascii="仿宋_GB2312" w:hAnsi="仿宋_GB2312" w:eastAsia="仿宋_GB2312" w:cs="仿宋_GB2312"/>
          <w:b w:val="0"/>
          <w:bCs w:val="0"/>
          <w:sz w:val="32"/>
          <w:szCs w:val="32"/>
          <w:lang w:val="en-US" w:eastAsia="zh-CN"/>
        </w:rPr>
        <w:t>》等2个中共省委委托重点调研课题；完成《打造海南自贸港高质量消费环境》等民盟海南省委会重点调研课题13个。扎实深入的调研成果为民盟中央、民盟海南省委会参加全国和省两会提交大会发言和提案提供素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hAnsi="仿宋_GB2312" w:cs="仿宋_GB2312"/>
          <w:sz w:val="32"/>
          <w:szCs w:val="32"/>
          <w:lang w:val="en-US" w:eastAsia="zh-CN"/>
        </w:rPr>
        <w:t>2024年</w:t>
      </w:r>
      <w:r>
        <w:rPr>
          <w:rFonts w:hint="eastAsia" w:ascii="仿宋_GB2312" w:hAnsi="仿宋_GB2312" w:eastAsia="仿宋_GB2312" w:cs="仿宋_GB2312"/>
          <w:sz w:val="32"/>
          <w:szCs w:val="32"/>
          <w:lang w:val="en-US" w:eastAsia="zh-CN"/>
        </w:rPr>
        <w:t>，</w:t>
      </w:r>
      <w:r>
        <w:rPr>
          <w:rFonts w:hint="eastAsia" w:hAnsi="仿宋_GB2312" w:cs="仿宋_GB2312"/>
          <w:sz w:val="32"/>
          <w:szCs w:val="32"/>
          <w:lang w:val="en-US" w:eastAsia="zh-CN"/>
        </w:rPr>
        <w:t>民盟海南省委会</w:t>
      </w:r>
      <w:r>
        <w:rPr>
          <w:rFonts w:hint="eastAsia" w:ascii="仿宋_GB2312" w:hAnsi="仿宋_GB2312" w:eastAsia="仿宋_GB2312" w:cs="仿宋_GB2312"/>
          <w:sz w:val="32"/>
          <w:szCs w:val="32"/>
          <w:lang w:val="en-US" w:eastAsia="zh-CN"/>
        </w:rPr>
        <w:t>首次承担完成省政协专家协商议题“海南生态产品价值核算和转化”，联合省政协联合首次在北京中科院生态环境中心召开专家协商会，10位全国知名专家学者做重点发言，调研报告得到省长、省政协主席等多位省领导的批示批办。积极参加省政协专题议政性常委会会议协商议题“全面推进美丽海南建设 争创美丽中国先行区”调研工作，参与起草的建议案得到省委书记、省长的重要批示。</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黑体" w:hAnsi="仿宋" w:eastAsia="黑体"/>
          <w:szCs w:val="32"/>
        </w:rPr>
      </w:pPr>
      <w:r>
        <w:rPr>
          <w:rFonts w:hint="eastAsia" w:ascii="仿宋" w:hAnsi="仿宋" w:eastAsia="仿宋" w:cs="仿宋"/>
          <w:b w:val="0"/>
          <w:color w:val="auto"/>
          <w:kern w:val="2"/>
          <w:sz w:val="32"/>
          <w:szCs w:val="32"/>
          <w:lang w:val="en-US" w:eastAsia="zh-CN" w:bidi="ar-SA"/>
        </w:rPr>
        <w:t xml:space="preserve"> </w:t>
      </w:r>
      <w:r>
        <w:rPr>
          <w:rFonts w:hint="eastAsia" w:ascii="黑体" w:hAnsi="仿宋" w:eastAsia="黑体"/>
          <w:szCs w:val="32"/>
          <w:lang w:eastAsia="zh-CN"/>
        </w:rPr>
        <w:t>五</w:t>
      </w:r>
      <w:r>
        <w:rPr>
          <w:rFonts w:hint="eastAsia" w:ascii="黑体" w:hAnsi="仿宋" w:eastAsia="黑体"/>
          <w:szCs w:val="32"/>
        </w:rPr>
        <w:t>、其他需要说明的问题</w:t>
      </w:r>
    </w:p>
    <w:p>
      <w:pPr>
        <w:keepNext w:val="0"/>
        <w:keepLines w:val="0"/>
        <w:pageBreakBefore w:val="0"/>
        <w:numPr>
          <w:ilvl w:val="0"/>
          <w:numId w:val="0"/>
        </w:numPr>
        <w:kinsoku/>
        <w:overflowPunct/>
        <w:topLinePunct w:val="0"/>
        <w:autoSpaceDE/>
        <w:bidi w:val="0"/>
        <w:adjustRightInd/>
        <w:spacing w:line="560" w:lineRule="exact"/>
        <w:ind w:firstLine="320" w:firstLineChars="100"/>
        <w:textAlignment w:val="auto"/>
        <w:rPr>
          <w:rFonts w:hint="eastAsia" w:ascii="仿宋" w:hAnsi="仿宋" w:eastAsia="仿宋" w:cs="宋体"/>
          <w:kern w:val="0"/>
          <w:szCs w:val="32"/>
        </w:rPr>
      </w:pPr>
      <w:r>
        <w:rPr>
          <w:rFonts w:hint="eastAsia" w:ascii="楷体" w:hAnsi="楷体" w:eastAsia="楷体" w:cs="宋体"/>
          <w:kern w:val="0"/>
          <w:szCs w:val="32"/>
          <w:lang w:eastAsia="zh-CN"/>
        </w:rPr>
        <w:t>（</w:t>
      </w:r>
      <w:r>
        <w:rPr>
          <w:rFonts w:hint="eastAsia" w:ascii="楷体" w:hAnsi="楷体" w:eastAsia="楷体" w:cs="宋体"/>
          <w:kern w:val="0"/>
          <w:szCs w:val="32"/>
          <w:lang w:val="en-US" w:eastAsia="zh-CN"/>
        </w:rPr>
        <w:t>一）</w:t>
      </w:r>
      <w:r>
        <w:rPr>
          <w:rFonts w:ascii="楷体" w:hAnsi="楷体" w:eastAsia="楷体" w:cs="宋体"/>
          <w:kern w:val="0"/>
          <w:szCs w:val="32"/>
        </w:rPr>
        <w:t>存在问题。</w:t>
      </w:r>
      <w:r>
        <w:rPr>
          <w:rFonts w:hint="eastAsia" w:ascii="仿宋_GB2312" w:hAnsi="仿宋_GB2312" w:eastAsia="仿宋_GB2312" w:cs="仿宋_GB2312"/>
          <w:sz w:val="32"/>
          <w:szCs w:val="32"/>
          <w:lang w:val="en-US" w:eastAsia="zh-CN"/>
        </w:rPr>
        <w:t>报销不及时。由于参与课题调研人员均为盟员，不能及时送相关材料报销，致使超过报账时限。</w:t>
      </w:r>
    </w:p>
    <w:p>
      <w:pPr>
        <w:keepNext w:val="0"/>
        <w:keepLines w:val="0"/>
        <w:pageBreakBefore w:val="0"/>
        <w:kinsoku/>
        <w:overflowPunct/>
        <w:topLinePunct w:val="0"/>
        <w:autoSpaceDE/>
        <w:bidi w:val="0"/>
        <w:adjustRightInd/>
        <w:spacing w:line="560" w:lineRule="exact"/>
        <w:ind w:firstLine="320" w:firstLineChars="100"/>
        <w:textAlignment w:val="auto"/>
        <w:rPr>
          <w:rFonts w:hint="eastAsia" w:ascii="仿宋_GB2312" w:hAnsi="仿宋_GB2312" w:eastAsia="仿宋_GB2312" w:cs="仿宋_GB2312"/>
          <w:sz w:val="32"/>
          <w:szCs w:val="32"/>
          <w:lang w:val="en-US" w:eastAsia="zh-CN"/>
        </w:rPr>
      </w:pPr>
      <w:r>
        <w:rPr>
          <w:rFonts w:ascii="楷体" w:hAnsi="楷体" w:eastAsia="楷体" w:cs="宋体"/>
          <w:kern w:val="0"/>
          <w:szCs w:val="32"/>
        </w:rPr>
        <w:t>（二）</w:t>
      </w:r>
      <w:r>
        <w:rPr>
          <w:rFonts w:hint="eastAsia" w:ascii="楷体" w:hAnsi="楷体" w:eastAsia="楷体" w:cs="宋体"/>
          <w:kern w:val="0"/>
          <w:szCs w:val="32"/>
          <w:lang w:eastAsia="zh-CN"/>
        </w:rPr>
        <w:t>建议</w:t>
      </w:r>
      <w:r>
        <w:rPr>
          <w:rFonts w:hint="eastAsia" w:ascii="楷体" w:hAnsi="楷体" w:eastAsia="楷体" w:cs="宋体"/>
          <w:kern w:val="0"/>
          <w:szCs w:val="32"/>
        </w:rPr>
        <w:t>。</w:t>
      </w:r>
      <w:r>
        <w:rPr>
          <w:rFonts w:hint="eastAsia" w:ascii="仿宋_GB2312" w:hAnsi="仿宋_GB2312" w:eastAsia="仿宋_GB2312" w:cs="仿宋_GB2312"/>
          <w:sz w:val="32"/>
          <w:szCs w:val="32"/>
          <w:lang w:val="en-US" w:eastAsia="zh-CN"/>
        </w:rPr>
        <w:t>一是严格执行财务报账时限规定。课题调研发生经济业务公务接待费报销时限为7个工作日，其他经济业务事项在事项完成后30个工作日报销。二是按照海南省财政国库支付局《关于规范财务会计资料的通知》等相关财务规定进行报销。</w:t>
      </w:r>
    </w:p>
    <w:p>
      <w:pPr>
        <w:keepNext w:val="0"/>
        <w:keepLines w:val="0"/>
        <w:pageBreakBefore w:val="0"/>
        <w:kinsoku/>
        <w:overflowPunct/>
        <w:topLinePunct w:val="0"/>
        <w:autoSpaceDE/>
        <w:bidi w:val="0"/>
        <w:adjustRightInd/>
        <w:spacing w:line="560" w:lineRule="exact"/>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Geneva">
    <w:altName w:val="Arial"/>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page" w:x="5603" w:y="-34"/>
      <w:rPr>
        <w:rStyle w:val="10"/>
        <w:rFonts w:hint="eastAsia" w:ascii="宋体" w:hAnsi="宋体" w:eastAsia="宋体"/>
        <w:sz w:val="28"/>
        <w:szCs w:val="28"/>
      </w:rPr>
    </w:pPr>
    <w:r>
      <w:rPr>
        <w:rStyle w:val="10"/>
        <w:rFonts w:hint="eastAsia" w:ascii="宋体" w:hAnsi="宋体" w:eastAsia="宋体"/>
        <w:sz w:val="28"/>
        <w:szCs w:val="28"/>
      </w:rPr>
      <w:t>—</w:t>
    </w:r>
    <w:r>
      <w:rPr>
        <w:rStyle w:val="10"/>
        <w:rFonts w:ascii="宋体" w:hAnsi="宋体" w:eastAsia="宋体"/>
        <w:sz w:val="28"/>
        <w:szCs w:val="28"/>
      </w:rPr>
      <w:fldChar w:fldCharType="begin"/>
    </w:r>
    <w:r>
      <w:rPr>
        <w:rStyle w:val="10"/>
        <w:rFonts w:ascii="宋体" w:hAnsi="宋体" w:eastAsia="宋体"/>
        <w:sz w:val="28"/>
        <w:szCs w:val="28"/>
      </w:rPr>
      <w:instrText xml:space="preserve">PAGE  </w:instrText>
    </w:r>
    <w:r>
      <w:rPr>
        <w:rStyle w:val="10"/>
        <w:rFonts w:ascii="宋体" w:hAnsi="宋体" w:eastAsia="宋体"/>
        <w:sz w:val="28"/>
        <w:szCs w:val="28"/>
      </w:rPr>
      <w:fldChar w:fldCharType="separate"/>
    </w:r>
    <w:r>
      <w:rPr>
        <w:rStyle w:val="10"/>
        <w:rFonts w:ascii="宋体" w:hAnsi="宋体" w:eastAsia="宋体"/>
        <w:sz w:val="28"/>
        <w:szCs w:val="28"/>
      </w:rPr>
      <w:t>1</w:t>
    </w:r>
    <w:r>
      <w:rPr>
        <w:rStyle w:val="10"/>
        <w:rFonts w:ascii="宋体" w:hAnsi="宋体" w:eastAsia="宋体"/>
        <w:sz w:val="28"/>
        <w:szCs w:val="28"/>
      </w:rPr>
      <w:fldChar w:fldCharType="end"/>
    </w:r>
    <w:r>
      <w:rPr>
        <w:rStyle w:val="10"/>
        <w:rFonts w:hint="eastAsia" w:ascii="宋体" w:hAnsi="宋体" w:eastAsia="宋体"/>
        <w:sz w:val="28"/>
        <w:szCs w:val="28"/>
      </w:rPr>
      <w:t>—</w:t>
    </w:r>
  </w:p>
  <w:p>
    <w:pPr>
      <w:pStyle w:val="5"/>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BFC429"/>
    <w:multiLevelType w:val="singleLevel"/>
    <w:tmpl w:val="37BFC429"/>
    <w:lvl w:ilvl="0" w:tentative="0">
      <w:start w:val="3"/>
      <w:numFmt w:val="chineseCounting"/>
      <w:suff w:val="nothing"/>
      <w:lvlText w:val="%1、"/>
      <w:lvlJc w:val="left"/>
      <w:pPr>
        <w:ind w:left="805"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06E43"/>
    <w:rsid w:val="0007013B"/>
    <w:rsid w:val="001731B6"/>
    <w:rsid w:val="00322D70"/>
    <w:rsid w:val="003344CA"/>
    <w:rsid w:val="00575533"/>
    <w:rsid w:val="00575A9B"/>
    <w:rsid w:val="00624041"/>
    <w:rsid w:val="00806E43"/>
    <w:rsid w:val="00C0328C"/>
    <w:rsid w:val="00C30DE8"/>
    <w:rsid w:val="00C62BBB"/>
    <w:rsid w:val="00E57C19"/>
    <w:rsid w:val="00ED7E68"/>
    <w:rsid w:val="162B177A"/>
    <w:rsid w:val="17FA0380"/>
    <w:rsid w:val="1BFFBAC8"/>
    <w:rsid w:val="1DFF98D7"/>
    <w:rsid w:val="1DFFA2A6"/>
    <w:rsid w:val="1FA1FCEA"/>
    <w:rsid w:val="2E5AD451"/>
    <w:rsid w:val="307D7BF4"/>
    <w:rsid w:val="33AF115A"/>
    <w:rsid w:val="37F453B7"/>
    <w:rsid w:val="397BF0EF"/>
    <w:rsid w:val="3AF60241"/>
    <w:rsid w:val="3BF7EA64"/>
    <w:rsid w:val="3DFBC987"/>
    <w:rsid w:val="3EE5A1C8"/>
    <w:rsid w:val="3FBFCDC3"/>
    <w:rsid w:val="3FEE7C31"/>
    <w:rsid w:val="3FFA2C6E"/>
    <w:rsid w:val="3FFF8212"/>
    <w:rsid w:val="3FFFCE9D"/>
    <w:rsid w:val="4BF16600"/>
    <w:rsid w:val="4BFE10E0"/>
    <w:rsid w:val="5BB7F3C4"/>
    <w:rsid w:val="5BBB9116"/>
    <w:rsid w:val="5BEB8DC5"/>
    <w:rsid w:val="5D727995"/>
    <w:rsid w:val="5DFE2531"/>
    <w:rsid w:val="5DFE388A"/>
    <w:rsid w:val="5EF4E657"/>
    <w:rsid w:val="5FD51952"/>
    <w:rsid w:val="5FF25AA7"/>
    <w:rsid w:val="5FFD515B"/>
    <w:rsid w:val="6C7F145C"/>
    <w:rsid w:val="6DF7B48E"/>
    <w:rsid w:val="6F670954"/>
    <w:rsid w:val="72F48C89"/>
    <w:rsid w:val="73C5EBF9"/>
    <w:rsid w:val="76ABC1DA"/>
    <w:rsid w:val="776A796F"/>
    <w:rsid w:val="77BEFBFC"/>
    <w:rsid w:val="77FEF4D2"/>
    <w:rsid w:val="78D33A45"/>
    <w:rsid w:val="7A7D3A3F"/>
    <w:rsid w:val="7AB74EB4"/>
    <w:rsid w:val="7B6F1B94"/>
    <w:rsid w:val="7B6F21EB"/>
    <w:rsid w:val="7B973C63"/>
    <w:rsid w:val="7DF6F9F0"/>
    <w:rsid w:val="7DF7F4E5"/>
    <w:rsid w:val="7DFAF739"/>
    <w:rsid w:val="7DFBAC6A"/>
    <w:rsid w:val="7EB688D3"/>
    <w:rsid w:val="7EBF82B9"/>
    <w:rsid w:val="7EF296FD"/>
    <w:rsid w:val="7EFB2D59"/>
    <w:rsid w:val="7EFF5504"/>
    <w:rsid w:val="7F0FEEFF"/>
    <w:rsid w:val="7F3E94AA"/>
    <w:rsid w:val="7F5FF604"/>
    <w:rsid w:val="7F615288"/>
    <w:rsid w:val="7FBF429D"/>
    <w:rsid w:val="7FBFB68C"/>
    <w:rsid w:val="7FD743CB"/>
    <w:rsid w:val="7FEB92AE"/>
    <w:rsid w:val="7FEE5DBF"/>
    <w:rsid w:val="7FEFEF98"/>
    <w:rsid w:val="7FFFD440"/>
    <w:rsid w:val="8AE39B9E"/>
    <w:rsid w:val="8E7EC191"/>
    <w:rsid w:val="947D67A2"/>
    <w:rsid w:val="9D6CDD47"/>
    <w:rsid w:val="9DEEA8D7"/>
    <w:rsid w:val="9EDDBDFD"/>
    <w:rsid w:val="9FEDE6AE"/>
    <w:rsid w:val="9FF53CD2"/>
    <w:rsid w:val="A359DD1C"/>
    <w:rsid w:val="A7B7D7DE"/>
    <w:rsid w:val="AEB70341"/>
    <w:rsid w:val="AF5F3AF2"/>
    <w:rsid w:val="AF7FA715"/>
    <w:rsid w:val="B2FB31B7"/>
    <w:rsid w:val="B3B6E909"/>
    <w:rsid w:val="B3FD00A0"/>
    <w:rsid w:val="B74F60AB"/>
    <w:rsid w:val="B8DEA027"/>
    <w:rsid w:val="BBDFA861"/>
    <w:rsid w:val="BBFBCEAE"/>
    <w:rsid w:val="BE9CDD34"/>
    <w:rsid w:val="BF5C1CC6"/>
    <w:rsid w:val="BFBD1239"/>
    <w:rsid w:val="BFF50547"/>
    <w:rsid w:val="C6CF8846"/>
    <w:rsid w:val="C7BF55B6"/>
    <w:rsid w:val="CA8B4B46"/>
    <w:rsid w:val="CD3A853E"/>
    <w:rsid w:val="CDBB54EB"/>
    <w:rsid w:val="CDBFCD45"/>
    <w:rsid w:val="CEFF22F4"/>
    <w:rsid w:val="D7FE07AC"/>
    <w:rsid w:val="D8FF0191"/>
    <w:rsid w:val="DBAF16ED"/>
    <w:rsid w:val="DBF3008A"/>
    <w:rsid w:val="DCF6D5EA"/>
    <w:rsid w:val="DDF74A50"/>
    <w:rsid w:val="DE2F4249"/>
    <w:rsid w:val="E1FE9E29"/>
    <w:rsid w:val="EDEB7309"/>
    <w:rsid w:val="EE737774"/>
    <w:rsid w:val="EF3B7455"/>
    <w:rsid w:val="EFEF0D89"/>
    <w:rsid w:val="EFFFDB29"/>
    <w:rsid w:val="F2FB5B0B"/>
    <w:rsid w:val="F3EE264C"/>
    <w:rsid w:val="F3FB032E"/>
    <w:rsid w:val="F53F9A77"/>
    <w:rsid w:val="F5FFEFCF"/>
    <w:rsid w:val="F77DE032"/>
    <w:rsid w:val="F78F943A"/>
    <w:rsid w:val="F83F4359"/>
    <w:rsid w:val="F9DF9FED"/>
    <w:rsid w:val="F9FBA387"/>
    <w:rsid w:val="FB7D15BA"/>
    <w:rsid w:val="FBF37CDD"/>
    <w:rsid w:val="FCFF7005"/>
    <w:rsid w:val="FDBF5581"/>
    <w:rsid w:val="FDDC0422"/>
    <w:rsid w:val="FDFF4CBB"/>
    <w:rsid w:val="FE7DD8A0"/>
    <w:rsid w:val="FEF94132"/>
    <w:rsid w:val="FF1BCEFB"/>
    <w:rsid w:val="FF1E97E3"/>
    <w:rsid w:val="FF5E29DC"/>
    <w:rsid w:val="FF7EA0B6"/>
    <w:rsid w:val="FF7F2508"/>
    <w:rsid w:val="FFCB501A"/>
    <w:rsid w:val="FFDE72BC"/>
    <w:rsid w:val="FFEFFA53"/>
    <w:rsid w:val="FFFCC8AF"/>
    <w:rsid w:val="FFFD31A2"/>
    <w:rsid w:val="FFFD7A47"/>
    <w:rsid w:val="FFFD9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新宋体" w:eastAsia="仿宋_GB2312" w:cs="Times New Roman"/>
      <w:kern w:val="2"/>
      <w:sz w:val="32"/>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Normal Indent"/>
    <w:basedOn w:val="1"/>
    <w:qFormat/>
    <w:uiPriority w:val="0"/>
    <w:pPr>
      <w:ind w:firstLine="420" w:firstLineChars="200"/>
    </w:pPr>
    <w:rPr>
      <w:rFonts w:cs="黑体"/>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style>
  <w:style w:type="paragraph" w:customStyle="1" w:styleId="11">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12">
    <w:name w:val="页脚 Char"/>
    <w:basedOn w:val="9"/>
    <w:link w:val="5"/>
    <w:qFormat/>
    <w:uiPriority w:val="0"/>
    <w:rPr>
      <w:rFonts w:ascii="仿宋_GB2312" w:hAnsi="新宋体" w:eastAsia="仿宋_GB2312" w:cs="Times New Roman"/>
      <w:sz w:val="18"/>
      <w:szCs w:val="18"/>
    </w:rPr>
  </w:style>
  <w:style w:type="paragraph" w:customStyle="1" w:styleId="13">
    <w:name w:val="正文1 Char Char Char"/>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200</Words>
  <Characters>1142</Characters>
  <Lines>9</Lines>
  <Paragraphs>2</Paragraphs>
  <TotalTime>0</TotalTime>
  <ScaleCrop>false</ScaleCrop>
  <LinksUpToDate>false</LinksUpToDate>
  <CharactersWithSpaces>1340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2022-04-12T10:06:00Z</dcterms:created>
  <dc:creator>赵克</dc:creator>
  <cp:lastModifiedBy>uos</cp:lastModifiedBy>
  <cp:lastPrinted>2025-08-16T09:24:00Z</cp:lastPrinted>
  <dcterms:modified xsi:type="dcterms:W3CDTF">2025-08-21T10:13:21Z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